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402260F8"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51453F">
        <w:rPr>
          <w:rFonts w:asciiTheme="minorHAnsi" w:hAnsiTheme="minorHAnsi" w:cstheme="minorHAnsi"/>
          <w:b/>
          <w:bCs/>
          <w:sz w:val="19"/>
          <w:szCs w:val="19"/>
          <w:lang w:val="es-ES"/>
        </w:rPr>
        <w:t>4</w:t>
      </w:r>
      <w:r w:rsidR="0051453F" w:rsidRPr="0051453F">
        <w:rPr>
          <w:rFonts w:asciiTheme="minorHAnsi" w:hAnsiTheme="minorHAnsi" w:cstheme="minorHAnsi"/>
          <w:b/>
          <w:bCs/>
          <w:sz w:val="19"/>
          <w:szCs w:val="19"/>
          <w:lang w:val="es-ES"/>
        </w:rPr>
        <w:t xml:space="preserve"> de febrero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0293BDE9" w14:textId="77777777" w:rsidR="00C256FC" w:rsidRPr="00C256FC" w:rsidRDefault="00C256FC" w:rsidP="00C256FC">
      <w:pPr>
        <w:spacing w:after="160" w:line="276" w:lineRule="auto"/>
        <w:rPr>
          <w:rFonts w:asciiTheme="minorHAnsi" w:eastAsia="Calibri" w:hAnsiTheme="minorHAnsi" w:cstheme="minorHAnsi"/>
          <w:b/>
          <w:bCs/>
          <w:sz w:val="20"/>
          <w:szCs w:val="20"/>
          <w:lang w:val="fr-CH" w:bidi="th-TH"/>
        </w:rPr>
      </w:pPr>
      <w:r w:rsidRPr="00C256FC">
        <w:rPr>
          <w:rFonts w:asciiTheme="minorHAnsi" w:eastAsia="Aptos" w:hAnsiTheme="minorHAnsi" w:cstheme="minorHAnsi"/>
          <w:b/>
          <w:sz w:val="20"/>
          <w:szCs w:val="20"/>
          <w:lang w:val="es-ES" w:bidi="es-ES"/>
        </w:rPr>
        <w:t xml:space="preserve">El análisis del ciclo de vida confirma que BOBST </w:t>
      </w:r>
      <w:proofErr w:type="spellStart"/>
      <w:r w:rsidRPr="00C256FC">
        <w:rPr>
          <w:rFonts w:asciiTheme="minorHAnsi" w:eastAsia="Aptos" w:hAnsiTheme="minorHAnsi" w:cstheme="minorHAnsi"/>
          <w:b/>
          <w:sz w:val="20"/>
          <w:szCs w:val="20"/>
          <w:lang w:val="es-ES" w:bidi="es-ES"/>
        </w:rPr>
        <w:t>oneBARRIER</w:t>
      </w:r>
      <w:proofErr w:type="spellEnd"/>
      <w:r w:rsidRPr="00C256FC">
        <w:rPr>
          <w:rFonts w:asciiTheme="minorHAnsi" w:eastAsia="Aptos" w:hAnsiTheme="minorHAnsi" w:cstheme="minorHAnsi"/>
          <w:b/>
          <w:sz w:val="20"/>
          <w:szCs w:val="20"/>
          <w:lang w:val="es-ES" w:bidi="es-ES"/>
        </w:rPr>
        <w:t xml:space="preserve"> es la mejor opción de packaging</w:t>
      </w:r>
    </w:p>
    <w:p w14:paraId="78E94C23" w14:textId="77777777" w:rsidR="00C256FC" w:rsidRPr="00C256FC" w:rsidRDefault="00C256FC" w:rsidP="00C256FC">
      <w:pPr>
        <w:spacing w:after="160" w:line="276" w:lineRule="auto"/>
        <w:rPr>
          <w:rFonts w:asciiTheme="minorHAnsi" w:eastAsia="Calibri" w:hAnsiTheme="minorHAnsi" w:cstheme="minorHAnsi"/>
          <w:b/>
          <w:bCs/>
          <w:sz w:val="20"/>
          <w:szCs w:val="20"/>
          <w:lang w:val="fr-CH" w:bidi="th-TH"/>
        </w:rPr>
      </w:pPr>
      <w:r w:rsidRPr="00C256FC">
        <w:rPr>
          <w:rFonts w:asciiTheme="minorHAnsi" w:eastAsia="Aptos" w:hAnsiTheme="minorHAnsi" w:cstheme="minorHAnsi"/>
          <w:b/>
          <w:sz w:val="20"/>
          <w:szCs w:val="20"/>
          <w:lang w:val="es-ES" w:bidi="es-ES"/>
        </w:rPr>
        <w:t xml:space="preserve">La tecnología </w:t>
      </w:r>
      <w:proofErr w:type="spellStart"/>
      <w:r w:rsidRPr="00C256FC">
        <w:rPr>
          <w:rFonts w:asciiTheme="minorHAnsi" w:eastAsia="Aptos" w:hAnsiTheme="minorHAnsi" w:cstheme="minorHAnsi"/>
          <w:b/>
          <w:sz w:val="20"/>
          <w:szCs w:val="20"/>
          <w:lang w:val="es-ES" w:bidi="es-ES"/>
        </w:rPr>
        <w:t>oneBARRIER</w:t>
      </w:r>
      <w:proofErr w:type="spellEnd"/>
      <w:r w:rsidRPr="00C256FC">
        <w:rPr>
          <w:rFonts w:asciiTheme="minorHAnsi" w:eastAsia="Aptos" w:hAnsiTheme="minorHAnsi" w:cstheme="minorHAnsi"/>
          <w:b/>
          <w:sz w:val="20"/>
          <w:szCs w:val="20"/>
          <w:lang w:val="es-ES" w:bidi="es-ES"/>
        </w:rPr>
        <w:t xml:space="preserve"> de BOBST permite a impresores y convertidores suministrar embalajes flexibles que se ajustan a los objetivos de sostenibilidad de las marcas y cumplen las exigencias normativas. </w:t>
      </w:r>
    </w:p>
    <w:p w14:paraId="291AD946"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A medida que se intensifica la necesidad de envases flexibles reciclables, BOBST lidera el sector con la familia </w:t>
      </w:r>
      <w:proofErr w:type="spellStart"/>
      <w:r w:rsidRPr="00C256FC">
        <w:rPr>
          <w:rFonts w:asciiTheme="minorHAnsi" w:eastAsia="Aptos" w:hAnsiTheme="minorHAnsi" w:cstheme="minorHAnsi"/>
          <w:sz w:val="20"/>
          <w:szCs w:val="20"/>
          <w:lang w:val="es-ES" w:bidi="es-ES"/>
        </w:rPr>
        <w:t>oneBARRIER</w:t>
      </w:r>
      <w:proofErr w:type="spellEnd"/>
      <w:r w:rsidRPr="00C256FC">
        <w:rPr>
          <w:rFonts w:asciiTheme="minorHAnsi" w:eastAsia="Aptos" w:hAnsiTheme="minorHAnsi" w:cstheme="minorHAnsi"/>
          <w:sz w:val="20"/>
          <w:szCs w:val="20"/>
          <w:lang w:val="es-ES" w:bidi="es-ES"/>
        </w:rPr>
        <w:t xml:space="preserve"> de soluciones </w:t>
      </w:r>
      <w:proofErr w:type="spellStart"/>
      <w:r w:rsidRPr="00C256FC">
        <w:rPr>
          <w:rFonts w:asciiTheme="minorHAnsi" w:eastAsia="Aptos" w:hAnsiTheme="minorHAnsi" w:cstheme="minorHAnsi"/>
          <w:sz w:val="20"/>
          <w:szCs w:val="20"/>
          <w:lang w:val="es-ES" w:bidi="es-ES"/>
        </w:rPr>
        <w:t>monomateriales</w:t>
      </w:r>
      <w:proofErr w:type="spellEnd"/>
      <w:r w:rsidRPr="00C256FC">
        <w:rPr>
          <w:rFonts w:asciiTheme="minorHAnsi" w:eastAsia="Aptos" w:hAnsiTheme="minorHAnsi" w:cstheme="minorHAnsi"/>
          <w:sz w:val="20"/>
          <w:szCs w:val="20"/>
          <w:lang w:val="es-ES" w:bidi="es-ES"/>
        </w:rPr>
        <w:t xml:space="preserve"> de alta barrera. Hay dos productos innovadores, creados en colaboración con socios expertos del sector:</w:t>
      </w:r>
    </w:p>
    <w:p w14:paraId="060E14E5" w14:textId="77777777" w:rsidR="00C256FC" w:rsidRPr="00C256FC" w:rsidRDefault="00C256FC" w:rsidP="00C256FC">
      <w:pPr>
        <w:numPr>
          <w:ilvl w:val="0"/>
          <w:numId w:val="13"/>
        </w:numPr>
        <w:spacing w:after="160" w:line="276" w:lineRule="auto"/>
        <w:contextualSpacing/>
        <w:rPr>
          <w:rFonts w:asciiTheme="minorHAnsi" w:hAnsiTheme="minorHAnsi" w:cstheme="minorHAnsi"/>
          <w:sz w:val="20"/>
          <w:szCs w:val="20"/>
          <w:lang w:val="fr-CH" w:eastAsia="en-GB"/>
        </w:rPr>
      </w:pPr>
      <w:proofErr w:type="spellStart"/>
      <w:r w:rsidRPr="00C256FC">
        <w:rPr>
          <w:rFonts w:asciiTheme="minorHAnsi" w:eastAsia="Aptos" w:hAnsiTheme="minorHAnsi" w:cstheme="minorHAnsi"/>
          <w:sz w:val="20"/>
          <w:szCs w:val="20"/>
          <w:lang w:val="es-ES" w:eastAsia="en-GB" w:bidi="es-ES"/>
        </w:rPr>
        <w:t>oneBARRIER</w:t>
      </w:r>
      <w:proofErr w:type="spellEnd"/>
      <w:r w:rsidRPr="00C256FC">
        <w:rPr>
          <w:rFonts w:asciiTheme="minorHAnsi" w:eastAsia="Aptos" w:hAnsiTheme="minorHAnsi" w:cstheme="minorHAnsi"/>
          <w:sz w:val="20"/>
          <w:szCs w:val="20"/>
          <w:lang w:val="es-ES" w:eastAsia="en-GB" w:bidi="es-ES"/>
        </w:rPr>
        <w:t xml:space="preserve"> </w:t>
      </w:r>
      <w:proofErr w:type="spellStart"/>
      <w:r w:rsidRPr="00C256FC">
        <w:rPr>
          <w:rFonts w:asciiTheme="minorHAnsi" w:eastAsia="Aptos" w:hAnsiTheme="minorHAnsi" w:cstheme="minorHAnsi"/>
          <w:sz w:val="20"/>
          <w:szCs w:val="20"/>
          <w:lang w:val="es-ES" w:eastAsia="en-GB" w:bidi="es-ES"/>
        </w:rPr>
        <w:t>PrimeCycle</w:t>
      </w:r>
      <w:proofErr w:type="spellEnd"/>
      <w:r w:rsidRPr="00C256FC">
        <w:rPr>
          <w:rFonts w:asciiTheme="minorHAnsi" w:eastAsia="Aptos" w:hAnsiTheme="minorHAnsi" w:cstheme="minorHAnsi"/>
          <w:sz w:val="20"/>
          <w:szCs w:val="20"/>
          <w:lang w:val="es-ES" w:eastAsia="en-GB" w:bidi="es-ES"/>
        </w:rPr>
        <w:t xml:space="preserve"> es una solución </w:t>
      </w:r>
      <w:proofErr w:type="spellStart"/>
      <w:r w:rsidRPr="00C256FC">
        <w:rPr>
          <w:rFonts w:asciiTheme="minorHAnsi" w:eastAsia="Aptos" w:hAnsiTheme="minorHAnsi" w:cstheme="minorHAnsi"/>
          <w:sz w:val="20"/>
          <w:szCs w:val="20"/>
          <w:lang w:val="es-ES" w:eastAsia="en-GB" w:bidi="es-ES"/>
        </w:rPr>
        <w:t>monomaterial</w:t>
      </w:r>
      <w:proofErr w:type="spellEnd"/>
      <w:r w:rsidRPr="00C256FC">
        <w:rPr>
          <w:rFonts w:asciiTheme="minorHAnsi" w:eastAsia="Aptos" w:hAnsiTheme="minorHAnsi" w:cstheme="minorHAnsi"/>
          <w:sz w:val="20"/>
          <w:szCs w:val="20"/>
          <w:lang w:val="es-ES" w:eastAsia="en-GB" w:bidi="es-ES"/>
        </w:rPr>
        <w:t xml:space="preserve"> a base de polietileno (PE) que ofrece un rendimiento y una sostenibilidad excepcionales. </w:t>
      </w:r>
    </w:p>
    <w:p w14:paraId="65444D16" w14:textId="77777777" w:rsidR="00C256FC" w:rsidRPr="00C256FC" w:rsidRDefault="00C256FC" w:rsidP="00C256FC">
      <w:pPr>
        <w:numPr>
          <w:ilvl w:val="0"/>
          <w:numId w:val="13"/>
        </w:numPr>
        <w:spacing w:after="160" w:line="276" w:lineRule="auto"/>
        <w:contextualSpacing/>
        <w:rPr>
          <w:rFonts w:asciiTheme="minorHAnsi" w:hAnsiTheme="minorHAnsi" w:cstheme="minorHAnsi"/>
          <w:sz w:val="20"/>
          <w:szCs w:val="20"/>
          <w:lang w:val="fr-CH" w:eastAsia="en-GB"/>
        </w:rPr>
      </w:pPr>
      <w:proofErr w:type="spellStart"/>
      <w:r w:rsidRPr="00C256FC">
        <w:rPr>
          <w:rFonts w:asciiTheme="minorHAnsi" w:eastAsia="Aptos" w:hAnsiTheme="minorHAnsi" w:cstheme="minorHAnsi"/>
          <w:sz w:val="20"/>
          <w:szCs w:val="20"/>
          <w:lang w:val="es-ES" w:eastAsia="en-GB" w:bidi="es-ES"/>
        </w:rPr>
        <w:t>oneBARRIER</w:t>
      </w:r>
      <w:proofErr w:type="spellEnd"/>
      <w:r w:rsidRPr="00C256FC">
        <w:rPr>
          <w:rFonts w:asciiTheme="minorHAnsi" w:eastAsia="Aptos" w:hAnsiTheme="minorHAnsi" w:cstheme="minorHAnsi"/>
          <w:sz w:val="20"/>
          <w:szCs w:val="20"/>
          <w:lang w:val="es-ES" w:eastAsia="en-GB" w:bidi="es-ES"/>
        </w:rPr>
        <w:t xml:space="preserve"> </w:t>
      </w:r>
      <w:proofErr w:type="spellStart"/>
      <w:r w:rsidRPr="00C256FC">
        <w:rPr>
          <w:rFonts w:asciiTheme="minorHAnsi" w:eastAsia="Aptos" w:hAnsiTheme="minorHAnsi" w:cstheme="minorHAnsi"/>
          <w:sz w:val="20"/>
          <w:szCs w:val="20"/>
          <w:lang w:val="es-ES" w:eastAsia="en-GB" w:bidi="es-ES"/>
        </w:rPr>
        <w:t>FibreCycle</w:t>
      </w:r>
      <w:proofErr w:type="spellEnd"/>
      <w:r w:rsidRPr="00C256FC">
        <w:rPr>
          <w:rFonts w:asciiTheme="minorHAnsi" w:eastAsia="Aptos" w:hAnsiTheme="minorHAnsi" w:cstheme="minorHAnsi"/>
          <w:sz w:val="20"/>
          <w:szCs w:val="20"/>
          <w:lang w:val="es-ES" w:eastAsia="en-GB" w:bidi="es-ES"/>
        </w:rPr>
        <w:t xml:space="preserve"> es una solución 100% a base de papel que satisface la creciente necesidad de materiales de envasado renovables. </w:t>
      </w:r>
    </w:p>
    <w:p w14:paraId="084E322B" w14:textId="77777777" w:rsidR="00C256FC" w:rsidRPr="00C256FC" w:rsidRDefault="00C256FC" w:rsidP="00C256FC">
      <w:pPr>
        <w:spacing w:line="276" w:lineRule="auto"/>
        <w:ind w:left="720"/>
        <w:contextualSpacing/>
        <w:rPr>
          <w:rFonts w:asciiTheme="minorHAnsi" w:hAnsiTheme="minorHAnsi" w:cstheme="minorHAnsi"/>
          <w:sz w:val="20"/>
          <w:szCs w:val="20"/>
          <w:lang w:val="fr-CH" w:eastAsia="en-GB"/>
        </w:rPr>
      </w:pPr>
    </w:p>
    <w:p w14:paraId="3AE741AF"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Mediante la realización de rigurosos Análisis del Ciclo de Vida (ACV), BOBST evalúa el impacto ambiental de estas soluciones </w:t>
      </w:r>
      <w:proofErr w:type="spellStart"/>
      <w:r w:rsidRPr="00C256FC">
        <w:rPr>
          <w:rFonts w:asciiTheme="minorHAnsi" w:eastAsia="Aptos" w:hAnsiTheme="minorHAnsi" w:cstheme="minorHAnsi"/>
          <w:sz w:val="20"/>
          <w:szCs w:val="20"/>
          <w:lang w:val="es-ES" w:bidi="es-ES"/>
        </w:rPr>
        <w:t>oneBARRIER</w:t>
      </w:r>
      <w:proofErr w:type="spellEnd"/>
      <w:r w:rsidRPr="00C256FC">
        <w:rPr>
          <w:rFonts w:asciiTheme="minorHAnsi" w:eastAsia="Aptos" w:hAnsiTheme="minorHAnsi" w:cstheme="minorHAnsi"/>
          <w:sz w:val="20"/>
          <w:szCs w:val="20"/>
          <w:lang w:val="es-ES" w:bidi="es-ES"/>
        </w:rPr>
        <w:t xml:space="preserve"> a partir de una metodología «de la cuna a la puerta». Este enfoque garantiza que los clientes puedan elegir con confianza opciones sostenibles respaldadas por datos primarios validados y precisos. </w:t>
      </w:r>
    </w:p>
    <w:p w14:paraId="54CFBAE7" w14:textId="77777777" w:rsidR="00C256FC" w:rsidRPr="00C256FC" w:rsidRDefault="00C256FC" w:rsidP="00C256FC">
      <w:pPr>
        <w:spacing w:after="160" w:line="276" w:lineRule="auto"/>
        <w:rPr>
          <w:rFonts w:asciiTheme="minorHAnsi" w:eastAsia="Calibri" w:hAnsiTheme="minorHAnsi" w:cstheme="minorHAnsi"/>
          <w:b/>
          <w:bCs/>
          <w:sz w:val="20"/>
          <w:szCs w:val="20"/>
          <w:lang w:val="fr-CH" w:bidi="th-TH"/>
        </w:rPr>
      </w:pPr>
      <w:r w:rsidRPr="00C256FC">
        <w:rPr>
          <w:rFonts w:asciiTheme="minorHAnsi" w:eastAsia="Aptos" w:hAnsiTheme="minorHAnsi" w:cstheme="minorHAnsi"/>
          <w:b/>
          <w:sz w:val="20"/>
          <w:szCs w:val="20"/>
          <w:lang w:val="es-ES" w:bidi="es-ES"/>
        </w:rPr>
        <w:t>Crear envases viables y sostenibles</w:t>
      </w:r>
    </w:p>
    <w:p w14:paraId="40421213"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A la hora de desarrollar nuevas soluciones de envasado flexible, BOBST tiene en cuenta cinco criterios fundamentales para crear materiales que no solo sean sostenibles, sino también viables desde el punto de vista financiero y técnico. Además, estos materiales están diseñados para cumplir las directrices y los requisitos de las normas internacionales y locales.</w:t>
      </w:r>
    </w:p>
    <w:p w14:paraId="41BC3ACB" w14:textId="77777777" w:rsidR="00C256FC" w:rsidRPr="00C256FC" w:rsidRDefault="00C256FC" w:rsidP="00C256FC">
      <w:pPr>
        <w:numPr>
          <w:ilvl w:val="0"/>
          <w:numId w:val="11"/>
        </w:numPr>
        <w:spacing w:after="160" w:line="276" w:lineRule="auto"/>
        <w:contextualSpacing/>
        <w:rPr>
          <w:rFonts w:asciiTheme="minorHAnsi" w:hAnsiTheme="minorHAnsi" w:cstheme="minorHAnsi"/>
          <w:sz w:val="20"/>
          <w:szCs w:val="20"/>
          <w:lang w:val="en-US" w:eastAsia="en-GB"/>
        </w:rPr>
      </w:pPr>
      <w:r w:rsidRPr="00C256FC">
        <w:rPr>
          <w:rFonts w:asciiTheme="minorHAnsi" w:eastAsia="Aptos" w:hAnsiTheme="minorHAnsi" w:cstheme="minorHAnsi"/>
          <w:sz w:val="20"/>
          <w:szCs w:val="20"/>
          <w:lang w:val="es-ES" w:eastAsia="en-GB" w:bidi="es-ES"/>
        </w:rPr>
        <w:t xml:space="preserve">Diseño para el reciclado (D4R) </w:t>
      </w:r>
    </w:p>
    <w:p w14:paraId="6D285A0E"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La composición del material debe seguir las directrices del sector, como CEFLEX y APR para polímeros y 4evergreen para envases de papel. También debe cumplir la normativa, incluido el Reglamento sobre los envases y residuos de envases (PPWR).  </w:t>
      </w:r>
    </w:p>
    <w:p w14:paraId="4013C2E6" w14:textId="77777777" w:rsidR="00C256FC" w:rsidRPr="00C256FC" w:rsidRDefault="00C256FC" w:rsidP="00C256FC">
      <w:pPr>
        <w:numPr>
          <w:ilvl w:val="0"/>
          <w:numId w:val="11"/>
        </w:numPr>
        <w:spacing w:after="160" w:line="276" w:lineRule="auto"/>
        <w:contextualSpacing/>
        <w:rPr>
          <w:rFonts w:asciiTheme="minorHAnsi" w:hAnsiTheme="minorHAnsi" w:cstheme="minorHAnsi"/>
          <w:sz w:val="20"/>
          <w:szCs w:val="20"/>
          <w:lang w:val="en-US" w:eastAsia="en-GB"/>
        </w:rPr>
      </w:pPr>
      <w:r w:rsidRPr="00C256FC">
        <w:rPr>
          <w:rFonts w:asciiTheme="minorHAnsi" w:eastAsia="Aptos" w:hAnsiTheme="minorHAnsi" w:cstheme="minorHAnsi"/>
          <w:sz w:val="20"/>
          <w:szCs w:val="20"/>
          <w:lang w:val="es-ES" w:eastAsia="en-GB" w:bidi="es-ES"/>
        </w:rPr>
        <w:t>Excelencia en el rendimiento</w:t>
      </w:r>
    </w:p>
    <w:p w14:paraId="5128B61D"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El material de envasado debe presentar las propiedades necesarias, como un buen comportamiento de barrera, tiempo de conservación y adherencia, para proteger eficazmente el contenido. También debe ser adecuado para un procesamiento eficaz en la maquinaria de conversión y las líneas de envasado.</w:t>
      </w:r>
    </w:p>
    <w:p w14:paraId="21DF5818" w14:textId="77777777" w:rsidR="00C256FC" w:rsidRPr="00C256FC" w:rsidRDefault="00C256FC" w:rsidP="00C256FC">
      <w:pPr>
        <w:numPr>
          <w:ilvl w:val="0"/>
          <w:numId w:val="11"/>
        </w:numPr>
        <w:spacing w:after="160" w:line="276" w:lineRule="auto"/>
        <w:contextualSpacing/>
        <w:rPr>
          <w:rFonts w:asciiTheme="minorHAnsi" w:hAnsiTheme="minorHAnsi" w:cstheme="minorHAnsi"/>
          <w:sz w:val="20"/>
          <w:szCs w:val="20"/>
          <w:lang w:val="en-US" w:eastAsia="en-GB"/>
        </w:rPr>
      </w:pPr>
      <w:r w:rsidRPr="00C256FC">
        <w:rPr>
          <w:rFonts w:asciiTheme="minorHAnsi" w:eastAsia="Aptos" w:hAnsiTheme="minorHAnsi" w:cstheme="minorHAnsi"/>
          <w:sz w:val="20"/>
          <w:szCs w:val="20"/>
          <w:lang w:val="es-ES" w:eastAsia="en-GB" w:bidi="es-ES"/>
        </w:rPr>
        <w:t>Reciclabilidad certificada</w:t>
      </w:r>
    </w:p>
    <w:p w14:paraId="1043573B" w14:textId="77777777" w:rsidR="00C256FC" w:rsidRPr="00C256FC" w:rsidRDefault="00C256FC" w:rsidP="00C256FC">
      <w:pPr>
        <w:spacing w:after="160" w:line="276" w:lineRule="auto"/>
        <w:rPr>
          <w:rFonts w:asciiTheme="minorHAnsi" w:eastAsia="Calibri" w:hAnsiTheme="minorHAnsi" w:cstheme="minorHAnsi"/>
          <w:sz w:val="20"/>
          <w:szCs w:val="20"/>
          <w:lang w:val="en-US" w:bidi="th-TH"/>
        </w:rPr>
      </w:pPr>
      <w:r w:rsidRPr="00C256FC">
        <w:rPr>
          <w:rFonts w:asciiTheme="minorHAnsi" w:eastAsia="Aptos" w:hAnsiTheme="minorHAnsi" w:cstheme="minorHAnsi"/>
          <w:sz w:val="20"/>
          <w:szCs w:val="20"/>
          <w:lang w:val="es-ES" w:bidi="es-ES"/>
        </w:rPr>
        <w:t>Todos los materiales deben probarse y certificarse para garantizar su reciclabilidad en el flujo de residuos mediante métodos de prueba aprobados, como PTS (</w:t>
      </w:r>
      <w:proofErr w:type="spellStart"/>
      <w:r w:rsidRPr="00C256FC">
        <w:rPr>
          <w:rFonts w:asciiTheme="minorHAnsi" w:eastAsia="Aptos" w:hAnsiTheme="minorHAnsi" w:cstheme="minorHAnsi"/>
          <w:sz w:val="20"/>
          <w:szCs w:val="20"/>
          <w:lang w:val="es-ES" w:bidi="es-ES"/>
        </w:rPr>
        <w:t>Institut</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für</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Fasern</w:t>
      </w:r>
      <w:proofErr w:type="spellEnd"/>
      <w:r w:rsidRPr="00C256FC">
        <w:rPr>
          <w:rFonts w:asciiTheme="minorHAnsi" w:eastAsia="Aptos" w:hAnsiTheme="minorHAnsi" w:cstheme="minorHAnsi"/>
          <w:sz w:val="20"/>
          <w:szCs w:val="20"/>
          <w:lang w:val="es-ES" w:bidi="es-ES"/>
        </w:rPr>
        <w:t xml:space="preserve"> &amp; </w:t>
      </w:r>
      <w:proofErr w:type="spellStart"/>
      <w:r w:rsidRPr="00C256FC">
        <w:rPr>
          <w:rFonts w:asciiTheme="minorHAnsi" w:eastAsia="Aptos" w:hAnsiTheme="minorHAnsi" w:cstheme="minorHAnsi"/>
          <w:sz w:val="20"/>
          <w:szCs w:val="20"/>
          <w:lang w:val="es-ES" w:bidi="es-ES"/>
        </w:rPr>
        <w:t>Papier</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gGmbH</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RecyClass</w:t>
      </w:r>
      <w:proofErr w:type="spellEnd"/>
      <w:r w:rsidRPr="00C256FC">
        <w:rPr>
          <w:rFonts w:asciiTheme="minorHAnsi" w:eastAsia="Aptos" w:hAnsiTheme="minorHAnsi" w:cstheme="minorHAnsi"/>
          <w:sz w:val="20"/>
          <w:szCs w:val="20"/>
          <w:lang w:val="es-ES" w:bidi="es-ES"/>
        </w:rPr>
        <w:t xml:space="preserve"> o </w:t>
      </w:r>
      <w:proofErr w:type="spellStart"/>
      <w:r w:rsidRPr="00C256FC">
        <w:rPr>
          <w:rFonts w:asciiTheme="minorHAnsi" w:eastAsia="Aptos" w:hAnsiTheme="minorHAnsi" w:cstheme="minorHAnsi"/>
          <w:sz w:val="20"/>
          <w:szCs w:val="20"/>
          <w:lang w:val="es-ES" w:bidi="es-ES"/>
        </w:rPr>
        <w:t>Institut</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cyclos</w:t>
      </w:r>
      <w:proofErr w:type="spellEnd"/>
      <w:r w:rsidRPr="00C256FC">
        <w:rPr>
          <w:rFonts w:asciiTheme="minorHAnsi" w:eastAsia="Aptos" w:hAnsiTheme="minorHAnsi" w:cstheme="minorHAnsi"/>
          <w:sz w:val="20"/>
          <w:szCs w:val="20"/>
          <w:lang w:val="es-ES" w:bidi="es-ES"/>
        </w:rPr>
        <w:t xml:space="preserve">-HTP. </w:t>
      </w:r>
    </w:p>
    <w:p w14:paraId="027622FE" w14:textId="77777777" w:rsidR="00C256FC" w:rsidRPr="00C256FC" w:rsidRDefault="00C256FC" w:rsidP="00C256FC">
      <w:pPr>
        <w:numPr>
          <w:ilvl w:val="0"/>
          <w:numId w:val="11"/>
        </w:numPr>
        <w:spacing w:after="160" w:line="276" w:lineRule="auto"/>
        <w:contextualSpacing/>
        <w:rPr>
          <w:rFonts w:asciiTheme="minorHAnsi" w:hAnsiTheme="minorHAnsi" w:cstheme="minorHAnsi"/>
          <w:sz w:val="20"/>
          <w:szCs w:val="20"/>
          <w:lang w:val="en-US" w:eastAsia="en-GB"/>
        </w:rPr>
      </w:pPr>
      <w:r w:rsidRPr="00C256FC">
        <w:rPr>
          <w:rFonts w:asciiTheme="minorHAnsi" w:eastAsia="Aptos" w:hAnsiTheme="minorHAnsi" w:cstheme="minorHAnsi"/>
          <w:sz w:val="20"/>
          <w:szCs w:val="20"/>
          <w:lang w:val="es-ES" w:eastAsia="en-GB" w:bidi="es-ES"/>
        </w:rPr>
        <w:t>Rentabilidad</w:t>
      </w:r>
    </w:p>
    <w:p w14:paraId="0929125D"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lastRenderedPageBreak/>
        <w:t xml:space="preserve">El coste total del material de envasado debe valorarse adecuadamente para garantizar que su coste sea neutro o esté dentro de un nivel de costes adicionales aceptable. </w:t>
      </w:r>
    </w:p>
    <w:p w14:paraId="07B23416" w14:textId="77777777" w:rsidR="00C256FC" w:rsidRPr="00C256FC" w:rsidRDefault="00C256FC" w:rsidP="00C256FC">
      <w:pPr>
        <w:numPr>
          <w:ilvl w:val="0"/>
          <w:numId w:val="11"/>
        </w:numPr>
        <w:spacing w:after="160" w:line="276" w:lineRule="auto"/>
        <w:contextualSpacing/>
        <w:rPr>
          <w:rFonts w:asciiTheme="minorHAnsi" w:hAnsiTheme="minorHAnsi" w:cstheme="minorHAnsi"/>
          <w:sz w:val="20"/>
          <w:szCs w:val="20"/>
          <w:lang w:val="en-US" w:eastAsia="en-GB"/>
        </w:rPr>
      </w:pPr>
      <w:r w:rsidRPr="00C256FC">
        <w:rPr>
          <w:rFonts w:asciiTheme="minorHAnsi" w:eastAsia="Aptos" w:hAnsiTheme="minorHAnsi" w:cstheme="minorHAnsi"/>
          <w:sz w:val="20"/>
          <w:szCs w:val="20"/>
          <w:lang w:val="es-ES" w:eastAsia="en-GB" w:bidi="es-ES"/>
        </w:rPr>
        <w:t xml:space="preserve">Evaluación medioambiental </w:t>
      </w:r>
    </w:p>
    <w:p w14:paraId="5A84E03C"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Debe realizarse un análisis del ciclo de vida (ACV) para determinar el impacto ambiental asociado a la producción de la estructura de envasado; puede poner de relieve si el material elegido es más respetuoso con el medio ambiente que las alternativas existentes. En última instancia, el ACV puede eliminar el «</w:t>
      </w:r>
      <w:proofErr w:type="spellStart"/>
      <w:r w:rsidRPr="00C256FC">
        <w:rPr>
          <w:rFonts w:asciiTheme="minorHAnsi" w:eastAsia="Aptos" w:hAnsiTheme="minorHAnsi" w:cstheme="minorHAnsi"/>
          <w:sz w:val="20"/>
          <w:szCs w:val="20"/>
          <w:lang w:val="es-ES" w:bidi="es-ES"/>
        </w:rPr>
        <w:t>ecoblanqueo</w:t>
      </w:r>
      <w:proofErr w:type="spellEnd"/>
      <w:r w:rsidRPr="00C256FC">
        <w:rPr>
          <w:rFonts w:asciiTheme="minorHAnsi" w:eastAsia="Aptos" w:hAnsiTheme="minorHAnsi" w:cstheme="minorHAnsi"/>
          <w:sz w:val="20"/>
          <w:szCs w:val="20"/>
          <w:lang w:val="es-ES" w:bidi="es-ES"/>
        </w:rPr>
        <w:t>» y ayudar a construir una mejor reputación.</w:t>
      </w:r>
    </w:p>
    <w:p w14:paraId="369B4DD8"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BOBST ha llevado a cabo ACV sobre las soluciones </w:t>
      </w:r>
      <w:proofErr w:type="spellStart"/>
      <w:r w:rsidRPr="00C256FC">
        <w:rPr>
          <w:rFonts w:asciiTheme="minorHAnsi" w:eastAsia="Aptos" w:hAnsiTheme="minorHAnsi" w:cstheme="minorHAnsi"/>
          <w:sz w:val="20"/>
          <w:szCs w:val="20"/>
          <w:lang w:val="es-ES" w:bidi="es-ES"/>
        </w:rPr>
        <w:t>oneBARRIER</w:t>
      </w:r>
      <w:proofErr w:type="spellEnd"/>
      <w:r w:rsidRPr="00C256FC">
        <w:rPr>
          <w:rFonts w:asciiTheme="minorHAnsi" w:eastAsia="Aptos" w:hAnsiTheme="minorHAnsi" w:cstheme="minorHAnsi"/>
          <w:sz w:val="20"/>
          <w:szCs w:val="20"/>
          <w:lang w:val="es-ES" w:bidi="es-ES"/>
        </w:rPr>
        <w:t xml:space="preserve"> </w:t>
      </w:r>
      <w:proofErr w:type="spellStart"/>
      <w:r w:rsidRPr="00C256FC">
        <w:rPr>
          <w:rFonts w:asciiTheme="minorHAnsi" w:eastAsia="Aptos" w:hAnsiTheme="minorHAnsi" w:cstheme="minorHAnsi"/>
          <w:sz w:val="20"/>
          <w:szCs w:val="20"/>
          <w:lang w:val="es-ES" w:bidi="es-ES"/>
        </w:rPr>
        <w:t>PrimeCycle</w:t>
      </w:r>
      <w:proofErr w:type="spellEnd"/>
      <w:r w:rsidRPr="00C256FC">
        <w:rPr>
          <w:rFonts w:asciiTheme="minorHAnsi" w:eastAsia="Aptos" w:hAnsiTheme="minorHAnsi" w:cstheme="minorHAnsi"/>
          <w:sz w:val="20"/>
          <w:szCs w:val="20"/>
          <w:lang w:val="es-ES" w:bidi="es-ES"/>
        </w:rPr>
        <w:t xml:space="preserve"> y </w:t>
      </w:r>
      <w:proofErr w:type="spellStart"/>
      <w:r w:rsidRPr="00C256FC">
        <w:rPr>
          <w:rFonts w:asciiTheme="minorHAnsi" w:eastAsia="Aptos" w:hAnsiTheme="minorHAnsi" w:cstheme="minorHAnsi"/>
          <w:sz w:val="20"/>
          <w:szCs w:val="20"/>
          <w:lang w:val="es-ES" w:bidi="es-ES"/>
        </w:rPr>
        <w:t>FibreCycle</w:t>
      </w:r>
      <w:proofErr w:type="spellEnd"/>
      <w:r w:rsidRPr="00C256FC">
        <w:rPr>
          <w:rFonts w:asciiTheme="minorHAnsi" w:eastAsia="Aptos" w:hAnsiTheme="minorHAnsi" w:cstheme="minorHAnsi"/>
          <w:sz w:val="20"/>
          <w:szCs w:val="20"/>
          <w:lang w:val="es-ES" w:bidi="es-ES"/>
        </w:rPr>
        <w:t xml:space="preserve"> para determinar su impacto ambiental «de la cuna a la puerta», más concretamente la puerta de fábrica, en comparación con las estructuras de envasado </w:t>
      </w:r>
      <w:proofErr w:type="spellStart"/>
      <w:r w:rsidRPr="00C256FC">
        <w:rPr>
          <w:rFonts w:asciiTheme="minorHAnsi" w:eastAsia="Aptos" w:hAnsiTheme="minorHAnsi" w:cstheme="minorHAnsi"/>
          <w:sz w:val="20"/>
          <w:szCs w:val="20"/>
          <w:lang w:val="es-ES" w:bidi="es-ES"/>
        </w:rPr>
        <w:t>multimaterial</w:t>
      </w:r>
      <w:proofErr w:type="spellEnd"/>
      <w:r w:rsidRPr="00C256FC">
        <w:rPr>
          <w:rFonts w:asciiTheme="minorHAnsi" w:eastAsia="Aptos" w:hAnsiTheme="minorHAnsi" w:cstheme="minorHAnsi"/>
          <w:sz w:val="20"/>
          <w:szCs w:val="20"/>
          <w:lang w:val="es-ES" w:bidi="es-ES"/>
        </w:rPr>
        <w:t xml:space="preserve"> existentes. </w:t>
      </w:r>
    </w:p>
    <w:p w14:paraId="7F062790"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Un estudio de ACV puede identificar impactos en 16 categorías, como el cambio climático. El estudio de ACV realizado por BOBST incluye las categorías determinadas como los temas más solicitados y relevantes para la industria, a saber, la huella de carbono, el uso del agua y el consumo de energía.  </w:t>
      </w:r>
    </w:p>
    <w:p w14:paraId="2A28C62F" w14:textId="77777777" w:rsidR="00C256FC" w:rsidRPr="00C256FC" w:rsidRDefault="00C256FC" w:rsidP="00C256FC">
      <w:pPr>
        <w:spacing w:after="160" w:line="276" w:lineRule="auto"/>
        <w:rPr>
          <w:rFonts w:asciiTheme="minorHAnsi" w:eastAsia="Calibri" w:hAnsiTheme="minorHAnsi" w:cstheme="minorHAnsi"/>
          <w:b/>
          <w:bCs/>
          <w:sz w:val="20"/>
          <w:szCs w:val="20"/>
          <w:lang w:val="fr-CH" w:bidi="th-TH"/>
        </w:rPr>
      </w:pPr>
      <w:r w:rsidRPr="00C256FC">
        <w:rPr>
          <w:rFonts w:asciiTheme="minorHAnsi" w:eastAsia="Aptos" w:hAnsiTheme="minorHAnsi" w:cstheme="minorHAnsi"/>
          <w:b/>
          <w:sz w:val="20"/>
          <w:szCs w:val="20"/>
          <w:lang w:val="es-ES" w:bidi="es-ES"/>
        </w:rPr>
        <w:t>Aprovechar las ventajas de los ACV</w:t>
      </w:r>
    </w:p>
    <w:p w14:paraId="7947D11D"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En general, la realización de un ACV presenta cinco ventajas principales. La primera es la reducción del impacto ambiental. Un ACV puede identificar puntos conflictivos durante el ciclo de vida del producto. Esta información puede utilizarse para aplicar mejoras que reduzcan la huella de carbono. </w:t>
      </w:r>
    </w:p>
    <w:p w14:paraId="532E2FC8" w14:textId="77777777" w:rsidR="00C256FC" w:rsidRPr="00C256FC" w:rsidRDefault="00C256FC" w:rsidP="00C256FC">
      <w:pPr>
        <w:spacing w:after="160" w:line="276" w:lineRule="auto"/>
        <w:rPr>
          <w:rFonts w:asciiTheme="minorHAnsi" w:eastAsia="Calibri" w:hAnsiTheme="minorHAnsi" w:cstheme="minorHAnsi"/>
          <w:sz w:val="20"/>
          <w:szCs w:val="20"/>
          <w:lang w:val="es-ES" w:bidi="th-TH"/>
        </w:rPr>
      </w:pPr>
      <w:r w:rsidRPr="00C256FC">
        <w:rPr>
          <w:rFonts w:asciiTheme="minorHAnsi" w:eastAsia="Aptos" w:hAnsiTheme="minorHAnsi" w:cstheme="minorHAnsi"/>
          <w:sz w:val="20"/>
          <w:szCs w:val="20"/>
          <w:lang w:val="es-ES" w:bidi="es-ES"/>
        </w:rPr>
        <w:t xml:space="preserve">En segundo lugar, puede ayudar a preservar los recursos señalando las áreas en las que se utilizan de forma ineficiente. Esto permite introducir mejoras que optimicen la producción y minimicen el derroche de materiales y energía. </w:t>
      </w:r>
    </w:p>
    <w:p w14:paraId="2DEBFB60"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El ahorro de costes es una tercera ventaja. Un ACV puede ayudar a ahorrar en la producción mejorando la eficiencia, garantizando la asequibilidad sin comprometer la calidad. El ACV también puede ayudar a gestionar los riesgos. Puede mostrar la distribución de los proveedores y el impacto potencial si se sustituye o elimina un proveedor de la cadena de valor. </w:t>
      </w:r>
    </w:p>
    <w:p w14:paraId="5117650B"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Aptos" w:hAnsiTheme="minorHAnsi" w:cstheme="minorHAnsi"/>
          <w:sz w:val="20"/>
          <w:szCs w:val="20"/>
          <w:lang w:val="es-ES" w:bidi="es-ES"/>
        </w:rPr>
        <w:t xml:space="preserve">Por último, la realización de un ACV puede mejorar las relaciones con las partes interesadas en toda la cadena de valor; en última instancia, elimina el </w:t>
      </w:r>
      <w:proofErr w:type="spellStart"/>
      <w:r w:rsidRPr="00C256FC">
        <w:rPr>
          <w:rFonts w:asciiTheme="minorHAnsi" w:eastAsia="Aptos" w:hAnsiTheme="minorHAnsi" w:cstheme="minorHAnsi"/>
          <w:sz w:val="20"/>
          <w:szCs w:val="20"/>
          <w:lang w:val="es-ES" w:bidi="es-ES"/>
        </w:rPr>
        <w:t>ecoblanqueo</w:t>
      </w:r>
      <w:proofErr w:type="spellEnd"/>
      <w:r w:rsidRPr="00C256FC">
        <w:rPr>
          <w:rFonts w:asciiTheme="minorHAnsi" w:eastAsia="Aptos" w:hAnsiTheme="minorHAnsi" w:cstheme="minorHAnsi"/>
          <w:sz w:val="20"/>
          <w:szCs w:val="20"/>
          <w:lang w:val="es-ES" w:bidi="es-ES"/>
        </w:rPr>
        <w:t xml:space="preserve"> y puede dar lugar a una mejor reputación de la marca y a una ventaja competitiva.</w:t>
      </w:r>
    </w:p>
    <w:p w14:paraId="098C48AA" w14:textId="77777777" w:rsidR="00C256FC" w:rsidRPr="00C256FC" w:rsidRDefault="00C256FC" w:rsidP="00C256FC">
      <w:pPr>
        <w:spacing w:after="160" w:line="276" w:lineRule="auto"/>
        <w:rPr>
          <w:rFonts w:asciiTheme="minorHAnsi" w:eastAsia="SimSun" w:hAnsiTheme="minorHAnsi" w:cstheme="minorHAnsi"/>
          <w:b/>
          <w:bCs/>
          <w:kern w:val="24"/>
          <w:sz w:val="20"/>
          <w:szCs w:val="20"/>
          <w:lang w:val="fr-CH" w:bidi="th-TH"/>
        </w:rPr>
      </w:pPr>
      <w:proofErr w:type="spellStart"/>
      <w:r w:rsidRPr="00C256FC">
        <w:rPr>
          <w:rFonts w:asciiTheme="minorHAnsi" w:eastAsia="SimSun" w:hAnsiTheme="minorHAnsi" w:cstheme="minorHAnsi"/>
          <w:b/>
          <w:kern w:val="24"/>
          <w:sz w:val="20"/>
          <w:szCs w:val="20"/>
          <w:lang w:val="es-ES" w:bidi="es-ES"/>
        </w:rPr>
        <w:t>oneBARRIER</w:t>
      </w:r>
      <w:proofErr w:type="spellEnd"/>
      <w:r w:rsidRPr="00C256FC">
        <w:rPr>
          <w:rFonts w:asciiTheme="minorHAnsi" w:eastAsia="SimSun" w:hAnsiTheme="minorHAnsi" w:cstheme="minorHAnsi"/>
          <w:b/>
          <w:kern w:val="24"/>
          <w:sz w:val="20"/>
          <w:szCs w:val="20"/>
          <w:lang w:val="es-ES" w:bidi="es-ES"/>
        </w:rPr>
        <w:t>: la opción sostenible</w:t>
      </w:r>
    </w:p>
    <w:p w14:paraId="65CC6A49" w14:textId="77777777" w:rsidR="00C256FC" w:rsidRPr="00C256FC" w:rsidRDefault="00C256FC" w:rsidP="00C256FC">
      <w:pPr>
        <w:spacing w:after="160" w:line="276" w:lineRule="auto"/>
        <w:rPr>
          <w:rFonts w:asciiTheme="minorHAnsi" w:eastAsia="Calibri" w:hAnsiTheme="minorHAnsi" w:cstheme="minorHAnsi"/>
          <w:sz w:val="20"/>
          <w:szCs w:val="20"/>
          <w:lang w:val="fr-CH" w:bidi="th-TH"/>
        </w:rPr>
      </w:pPr>
      <w:r w:rsidRPr="00C256FC">
        <w:rPr>
          <w:rFonts w:asciiTheme="minorHAnsi" w:eastAsia="SimSun" w:hAnsiTheme="minorHAnsi" w:cstheme="minorHAnsi"/>
          <w:kern w:val="24"/>
          <w:sz w:val="20"/>
          <w:szCs w:val="20"/>
          <w:lang w:val="es-ES" w:bidi="es-ES"/>
        </w:rPr>
        <w:t xml:space="preserve">Como ya se ha mencionado, este estudio comparativo de ACV se centra en tres categorías de impacto: cambio climático, consumo de agua dulce y consumo de energía. Al tratarse de un </w:t>
      </w:r>
      <w:r w:rsidRPr="00C256FC">
        <w:rPr>
          <w:rFonts w:asciiTheme="minorHAnsi" w:eastAsia="Aptos" w:hAnsiTheme="minorHAnsi" w:cstheme="minorHAnsi"/>
          <w:sz w:val="20"/>
          <w:szCs w:val="20"/>
          <w:lang w:val="es-ES" w:bidi="es-ES"/>
        </w:rPr>
        <w:t xml:space="preserve">análisis «de la cuna a la puerta», el ACV cubre el trayecto desde la extracción de la materia prima, pasando por el transporte, hasta la fabricación de la estructura final del envase. </w:t>
      </w:r>
    </w:p>
    <w:p w14:paraId="6E166C20" w14:textId="77777777" w:rsidR="00C256FC" w:rsidRPr="00C256FC" w:rsidRDefault="00C256FC" w:rsidP="00C256FC">
      <w:pPr>
        <w:spacing w:after="160" w:line="276" w:lineRule="auto"/>
        <w:rPr>
          <w:rFonts w:asciiTheme="minorHAnsi" w:eastAsia="SimSun" w:hAnsiTheme="minorHAnsi" w:cstheme="minorHAnsi"/>
          <w:kern w:val="24"/>
          <w:sz w:val="20"/>
          <w:szCs w:val="20"/>
          <w:lang w:val="fr-CH" w:bidi="th-TH"/>
        </w:rPr>
      </w:pPr>
      <w:r w:rsidRPr="00C256FC">
        <w:rPr>
          <w:rFonts w:asciiTheme="minorHAnsi" w:eastAsia="SimSun" w:hAnsiTheme="minorHAnsi" w:cstheme="minorHAnsi"/>
          <w:kern w:val="24"/>
          <w:sz w:val="20"/>
          <w:szCs w:val="20"/>
          <w:lang w:val="es-ES" w:bidi="es-ES"/>
        </w:rPr>
        <w:t xml:space="preserve">El estudio analiza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w:t>
      </w:r>
      <w:proofErr w:type="spellStart"/>
      <w:r w:rsidRPr="00C256FC">
        <w:rPr>
          <w:rFonts w:asciiTheme="minorHAnsi" w:eastAsia="SimSun" w:hAnsiTheme="minorHAnsi" w:cstheme="minorHAnsi"/>
          <w:kern w:val="24"/>
          <w:sz w:val="20"/>
          <w:szCs w:val="20"/>
          <w:lang w:val="es-ES" w:bidi="es-ES"/>
        </w:rPr>
        <w:t>PrimeCycle</w:t>
      </w:r>
      <w:proofErr w:type="spellEnd"/>
      <w:r w:rsidRPr="00C256FC">
        <w:rPr>
          <w:rFonts w:asciiTheme="minorHAnsi" w:eastAsia="SimSun" w:hAnsiTheme="minorHAnsi" w:cstheme="minorHAnsi"/>
          <w:kern w:val="24"/>
          <w:sz w:val="20"/>
          <w:szCs w:val="20"/>
          <w:lang w:val="es-ES" w:bidi="es-ES"/>
        </w:rPr>
        <w:t xml:space="preserve"> y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w:t>
      </w:r>
      <w:proofErr w:type="spellStart"/>
      <w:r w:rsidRPr="00C256FC">
        <w:rPr>
          <w:rFonts w:asciiTheme="minorHAnsi" w:eastAsia="SimSun" w:hAnsiTheme="minorHAnsi" w:cstheme="minorHAnsi"/>
          <w:kern w:val="24"/>
          <w:sz w:val="20"/>
          <w:szCs w:val="20"/>
          <w:lang w:val="es-ES" w:bidi="es-ES"/>
        </w:rPr>
        <w:t>FibreCycle</w:t>
      </w:r>
      <w:proofErr w:type="spellEnd"/>
      <w:r w:rsidRPr="00C256FC">
        <w:rPr>
          <w:rFonts w:asciiTheme="minorHAnsi" w:eastAsia="SimSun" w:hAnsiTheme="minorHAnsi" w:cstheme="minorHAnsi"/>
          <w:kern w:val="24"/>
          <w:sz w:val="20"/>
          <w:szCs w:val="20"/>
          <w:lang w:val="es-ES" w:bidi="es-ES"/>
        </w:rPr>
        <w:t xml:space="preserve"> de BOBST comparándolas con dos estructuras </w:t>
      </w:r>
      <w:proofErr w:type="spellStart"/>
      <w:r w:rsidRPr="00C256FC">
        <w:rPr>
          <w:rFonts w:asciiTheme="minorHAnsi" w:eastAsia="SimSun" w:hAnsiTheme="minorHAnsi" w:cstheme="minorHAnsi"/>
          <w:kern w:val="24"/>
          <w:sz w:val="20"/>
          <w:szCs w:val="20"/>
          <w:lang w:val="es-ES" w:bidi="es-ES"/>
        </w:rPr>
        <w:t>multimaterial</w:t>
      </w:r>
      <w:proofErr w:type="spellEnd"/>
      <w:r w:rsidRPr="00C256FC">
        <w:rPr>
          <w:rFonts w:asciiTheme="minorHAnsi" w:eastAsia="SimSun" w:hAnsiTheme="minorHAnsi" w:cstheme="minorHAnsi"/>
          <w:kern w:val="24"/>
          <w:sz w:val="20"/>
          <w:szCs w:val="20"/>
          <w:lang w:val="es-ES" w:bidi="es-ES"/>
        </w:rPr>
        <w:t xml:space="preserve"> estándar del sector: una estructura de alta barrera que contiene PET metalizado y una estructura </w:t>
      </w:r>
      <w:proofErr w:type="spellStart"/>
      <w:r w:rsidRPr="00C256FC">
        <w:rPr>
          <w:rFonts w:asciiTheme="minorHAnsi" w:eastAsia="SimSun" w:hAnsiTheme="minorHAnsi" w:cstheme="minorHAnsi"/>
          <w:kern w:val="24"/>
          <w:sz w:val="20"/>
          <w:szCs w:val="20"/>
          <w:lang w:val="es-ES" w:bidi="es-ES"/>
        </w:rPr>
        <w:t>multimaterial</w:t>
      </w:r>
      <w:proofErr w:type="spellEnd"/>
      <w:r w:rsidRPr="00C256FC">
        <w:rPr>
          <w:rFonts w:asciiTheme="minorHAnsi" w:eastAsia="SimSun" w:hAnsiTheme="minorHAnsi" w:cstheme="minorHAnsi"/>
          <w:kern w:val="24"/>
          <w:sz w:val="20"/>
          <w:szCs w:val="20"/>
          <w:lang w:val="es-ES" w:bidi="es-ES"/>
        </w:rPr>
        <w:t xml:space="preserve"> de barrera ultra alta que incorpora papel de aluminio.</w:t>
      </w:r>
    </w:p>
    <w:p w14:paraId="6D3F0042" w14:textId="77777777" w:rsidR="00C256FC" w:rsidRPr="00C256FC" w:rsidRDefault="00C256FC" w:rsidP="00C256FC">
      <w:pPr>
        <w:spacing w:after="160" w:line="276" w:lineRule="auto"/>
        <w:rPr>
          <w:rFonts w:asciiTheme="minorHAnsi" w:eastAsia="SimSun" w:hAnsiTheme="minorHAnsi" w:cstheme="minorHAnsi"/>
          <w:kern w:val="24"/>
          <w:sz w:val="20"/>
          <w:szCs w:val="20"/>
          <w:lang w:val="fr-CH" w:bidi="th-TH"/>
        </w:rPr>
      </w:pPr>
      <w:r w:rsidRPr="00C256FC">
        <w:rPr>
          <w:rFonts w:asciiTheme="minorHAnsi" w:eastAsia="SimSun" w:hAnsiTheme="minorHAnsi" w:cstheme="minorHAnsi"/>
          <w:kern w:val="24"/>
          <w:sz w:val="20"/>
          <w:szCs w:val="20"/>
          <w:lang w:val="es-ES" w:bidi="es-ES"/>
        </w:rPr>
        <w:t xml:space="preserve">Los resultados en las tres categorías muestran que BOBST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w:t>
      </w:r>
      <w:proofErr w:type="spellStart"/>
      <w:r w:rsidRPr="00C256FC">
        <w:rPr>
          <w:rFonts w:asciiTheme="minorHAnsi" w:eastAsia="SimSun" w:hAnsiTheme="minorHAnsi" w:cstheme="minorHAnsi"/>
          <w:kern w:val="24"/>
          <w:sz w:val="20"/>
          <w:szCs w:val="20"/>
          <w:lang w:val="es-ES" w:bidi="es-ES"/>
        </w:rPr>
        <w:t>PrimeCycle</w:t>
      </w:r>
      <w:proofErr w:type="spellEnd"/>
      <w:r w:rsidRPr="00C256FC">
        <w:rPr>
          <w:rFonts w:asciiTheme="minorHAnsi" w:eastAsia="SimSun" w:hAnsiTheme="minorHAnsi" w:cstheme="minorHAnsi"/>
          <w:kern w:val="24"/>
          <w:sz w:val="20"/>
          <w:szCs w:val="20"/>
          <w:lang w:val="es-ES" w:bidi="es-ES"/>
        </w:rPr>
        <w:t xml:space="preserve"> tiene el menor impacto de las cuatro estructuras. Le sigue de cerca la solución </w:t>
      </w:r>
      <w:proofErr w:type="spellStart"/>
      <w:r w:rsidRPr="00C256FC">
        <w:rPr>
          <w:rFonts w:asciiTheme="minorHAnsi" w:eastAsia="SimSun" w:hAnsiTheme="minorHAnsi" w:cstheme="minorHAnsi"/>
          <w:kern w:val="24"/>
          <w:sz w:val="20"/>
          <w:szCs w:val="20"/>
          <w:lang w:val="es-ES" w:bidi="es-ES"/>
        </w:rPr>
        <w:t>FibreCycle</w:t>
      </w:r>
      <w:proofErr w:type="spellEnd"/>
      <w:r w:rsidRPr="00C256FC">
        <w:rPr>
          <w:rFonts w:asciiTheme="minorHAnsi" w:eastAsia="SimSun" w:hAnsiTheme="minorHAnsi" w:cstheme="minorHAnsi"/>
          <w:kern w:val="24"/>
          <w:sz w:val="20"/>
          <w:szCs w:val="20"/>
          <w:lang w:val="es-ES" w:bidi="es-ES"/>
        </w:rPr>
        <w:t xml:space="preserve"> de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En cambio, la estructura de papel de aluminio de barrera ultra alta sin BOBST tiene el mayor impacto en todas las categorías. </w:t>
      </w:r>
    </w:p>
    <w:p w14:paraId="24F9CEE7" w14:textId="77777777" w:rsidR="00C256FC" w:rsidRPr="00C256FC" w:rsidRDefault="00C256FC" w:rsidP="00C256FC">
      <w:pPr>
        <w:spacing w:after="160" w:line="276" w:lineRule="auto"/>
        <w:rPr>
          <w:rFonts w:asciiTheme="minorHAnsi" w:eastAsia="SimSun" w:hAnsiTheme="minorHAnsi" w:cstheme="minorHAnsi"/>
          <w:kern w:val="24"/>
          <w:sz w:val="20"/>
          <w:szCs w:val="20"/>
          <w:lang w:val="fr-CH" w:bidi="th-TH"/>
        </w:rPr>
      </w:pPr>
      <w:r w:rsidRPr="00C256FC">
        <w:rPr>
          <w:rFonts w:asciiTheme="minorHAnsi" w:eastAsia="SimSun" w:hAnsiTheme="minorHAnsi" w:cstheme="minorHAnsi"/>
          <w:kern w:val="24"/>
          <w:sz w:val="20"/>
          <w:szCs w:val="20"/>
          <w:lang w:val="es-ES" w:bidi="es-ES"/>
        </w:rPr>
        <w:lastRenderedPageBreak/>
        <w:t xml:space="preserve">Destacando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w:t>
      </w:r>
      <w:proofErr w:type="spellStart"/>
      <w:r w:rsidRPr="00C256FC">
        <w:rPr>
          <w:rFonts w:asciiTheme="minorHAnsi" w:eastAsia="SimSun" w:hAnsiTheme="minorHAnsi" w:cstheme="minorHAnsi"/>
          <w:kern w:val="24"/>
          <w:sz w:val="20"/>
          <w:szCs w:val="20"/>
          <w:lang w:val="es-ES" w:bidi="es-ES"/>
        </w:rPr>
        <w:t>PrimeCycle</w:t>
      </w:r>
      <w:proofErr w:type="spellEnd"/>
      <w:r w:rsidRPr="00C256FC">
        <w:rPr>
          <w:rFonts w:asciiTheme="minorHAnsi" w:eastAsia="SimSun" w:hAnsiTheme="minorHAnsi" w:cstheme="minorHAnsi"/>
          <w:kern w:val="24"/>
          <w:sz w:val="20"/>
          <w:szCs w:val="20"/>
          <w:lang w:val="es-ES" w:bidi="es-ES"/>
        </w:rPr>
        <w:t xml:space="preserve"> y </w:t>
      </w:r>
      <w:proofErr w:type="spellStart"/>
      <w:r w:rsidRPr="00C256FC">
        <w:rPr>
          <w:rFonts w:asciiTheme="minorHAnsi" w:eastAsia="SimSun" w:hAnsiTheme="minorHAnsi" w:cstheme="minorHAnsi"/>
          <w:kern w:val="24"/>
          <w:sz w:val="20"/>
          <w:szCs w:val="20"/>
          <w:lang w:val="es-ES" w:bidi="es-ES"/>
        </w:rPr>
        <w:t>FibreCycle</w:t>
      </w:r>
      <w:proofErr w:type="spellEnd"/>
      <w:r w:rsidRPr="00C256FC">
        <w:rPr>
          <w:rFonts w:asciiTheme="minorHAnsi" w:eastAsia="SimSun" w:hAnsiTheme="minorHAnsi" w:cstheme="minorHAnsi"/>
          <w:kern w:val="24"/>
          <w:sz w:val="20"/>
          <w:szCs w:val="20"/>
          <w:lang w:val="es-ES" w:bidi="es-ES"/>
        </w:rPr>
        <w:t xml:space="preserve"> como opciones de envasado óptimas, el estudio confirma que estas soluciones tienen un menor impacto ambiental que las existentes no reciclables. </w:t>
      </w:r>
      <w:proofErr w:type="spellStart"/>
      <w:r w:rsidRPr="00C256FC">
        <w:rPr>
          <w:rFonts w:asciiTheme="minorHAnsi" w:eastAsia="SimSun" w:hAnsiTheme="minorHAnsi" w:cstheme="minorHAnsi"/>
          <w:kern w:val="24"/>
          <w:sz w:val="20"/>
          <w:szCs w:val="20"/>
          <w:lang w:val="es-ES" w:bidi="es-ES"/>
        </w:rPr>
        <w:t>oneBARRIER</w:t>
      </w:r>
      <w:proofErr w:type="spellEnd"/>
      <w:r w:rsidRPr="00C256FC">
        <w:rPr>
          <w:rFonts w:asciiTheme="minorHAnsi" w:eastAsia="SimSun" w:hAnsiTheme="minorHAnsi" w:cstheme="minorHAnsi"/>
          <w:kern w:val="24"/>
          <w:sz w:val="20"/>
          <w:szCs w:val="20"/>
          <w:lang w:val="es-ES" w:bidi="es-ES"/>
        </w:rPr>
        <w:t xml:space="preserve"> ofrece una alternativa completa y creíble basada en los criterios clave para un envasado sostenible, viable y conforme a la normativa. </w:t>
      </w:r>
    </w:p>
    <w:p w14:paraId="160516D3" w14:textId="40728B3C" w:rsidR="00EF0880" w:rsidRPr="00F11391" w:rsidRDefault="0051453F"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fr-CH"/>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51453F"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51453F"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B0A06"/>
    <w:multiLevelType w:val="multilevel"/>
    <w:tmpl w:val="C4A8E0D6"/>
    <w:numStyleLink w:val="Style1"/>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925384330">
    <w:abstractNumId w:val="12"/>
  </w:num>
  <w:num w:numId="12" w16cid:durableId="295335604">
    <w:abstractNumId w:val="10"/>
  </w:num>
  <w:num w:numId="13" w16cid:durableId="1056393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38D0"/>
    <w:rsid w:val="00154DC0"/>
    <w:rsid w:val="00154F85"/>
    <w:rsid w:val="00161F64"/>
    <w:rsid w:val="00162ACD"/>
    <w:rsid w:val="00162F04"/>
    <w:rsid w:val="00165731"/>
    <w:rsid w:val="00185617"/>
    <w:rsid w:val="00193DE7"/>
    <w:rsid w:val="00217782"/>
    <w:rsid w:val="0027064C"/>
    <w:rsid w:val="002A62A9"/>
    <w:rsid w:val="00343342"/>
    <w:rsid w:val="003800D4"/>
    <w:rsid w:val="003837B8"/>
    <w:rsid w:val="00402B3B"/>
    <w:rsid w:val="004A4339"/>
    <w:rsid w:val="004C2489"/>
    <w:rsid w:val="004C5501"/>
    <w:rsid w:val="004F3549"/>
    <w:rsid w:val="005011E1"/>
    <w:rsid w:val="0051453F"/>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574E"/>
    <w:rsid w:val="00B936B3"/>
    <w:rsid w:val="00BB5BE9"/>
    <w:rsid w:val="00BE0378"/>
    <w:rsid w:val="00C179A7"/>
    <w:rsid w:val="00C20D00"/>
    <w:rsid w:val="00C256FC"/>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36CF1"/>
    <w:rsid w:val="00F7021D"/>
    <w:rsid w:val="00F729BF"/>
    <w:rsid w:val="00F775CD"/>
    <w:rsid w:val="00F9146B"/>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numbering" w:customStyle="1" w:styleId="Style1">
    <w:name w:val="Style1"/>
    <w:uiPriority w:val="99"/>
    <w:rsid w:val="00C256F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3</Pages>
  <Words>1077</Words>
  <Characters>6141</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2025-02-03T13:16:00Z</dcterms:created>
  <dcterms:modified xsi:type="dcterms:W3CDTF">2025-02-03T13:17:00Z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